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1A54" w:rsidRDefault="00F5034F">
      <w:pPr>
        <w:jc w:val="center"/>
        <w:rPr>
          <w:rFonts w:ascii="宋体" w:hAnsi="宋体"/>
          <w:b/>
          <w:sz w:val="36"/>
          <w:szCs w:val="36"/>
        </w:rPr>
      </w:pPr>
      <w:r>
        <w:rPr>
          <w:rFonts w:ascii="宋体" w:hAnsi="宋体" w:hint="eastAsia"/>
          <w:b/>
          <w:sz w:val="36"/>
          <w:szCs w:val="36"/>
        </w:rPr>
        <w:t>马克思主义学院第一场校庆学术报告会</w:t>
      </w:r>
      <w:r>
        <w:rPr>
          <w:rFonts w:ascii="宋体" w:hAnsi="宋体" w:hint="eastAsia"/>
          <w:b/>
          <w:sz w:val="36"/>
          <w:szCs w:val="36"/>
        </w:rPr>
        <w:t>举行</w:t>
      </w:r>
    </w:p>
    <w:p w:rsidR="00BF1A54" w:rsidRDefault="00F5034F">
      <w:pPr>
        <w:spacing w:line="560" w:lineRule="exact"/>
        <w:ind w:firstLineChars="200" w:firstLine="600"/>
        <w:jc w:val="left"/>
        <w:rPr>
          <w:rFonts w:ascii="仿宋" w:eastAsia="仿宋" w:hAnsi="仿宋"/>
          <w:sz w:val="30"/>
          <w:szCs w:val="30"/>
        </w:rPr>
      </w:pPr>
      <w:r>
        <w:rPr>
          <w:rFonts w:ascii="仿宋" w:eastAsia="仿宋" w:hAnsi="仿宋"/>
          <w:noProof/>
          <w:sz w:val="30"/>
          <w:szCs w:val="30"/>
        </w:rPr>
        <w:drawing>
          <wp:anchor distT="0" distB="0" distL="114300" distR="114300" simplePos="0" relativeHeight="251658240" behindDoc="0" locked="0" layoutInCell="1" allowOverlap="1">
            <wp:simplePos x="0" y="0"/>
            <wp:positionH relativeFrom="column">
              <wp:posOffset>69215</wp:posOffset>
            </wp:positionH>
            <wp:positionV relativeFrom="paragraph">
              <wp:posOffset>2303145</wp:posOffset>
            </wp:positionV>
            <wp:extent cx="5273675" cy="3516630"/>
            <wp:effectExtent l="0" t="0" r="3175" b="762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3675" cy="3516630"/>
                    </a:xfrm>
                    <a:prstGeom prst="rect">
                      <a:avLst/>
                    </a:prstGeom>
                  </pic:spPr>
                </pic:pic>
              </a:graphicData>
            </a:graphic>
          </wp:anchor>
        </w:drawing>
      </w:r>
      <w:r>
        <w:rPr>
          <w:rFonts w:ascii="仿宋" w:eastAsia="仿宋" w:hAnsi="仿宋" w:hint="eastAsia"/>
          <w:sz w:val="30"/>
          <w:szCs w:val="30"/>
        </w:rPr>
        <w:t>为积极响应我校</w:t>
      </w:r>
      <w:r>
        <w:rPr>
          <w:rFonts w:ascii="仿宋" w:eastAsia="仿宋" w:hAnsi="仿宋" w:hint="eastAsia"/>
          <w:sz w:val="30"/>
          <w:szCs w:val="30"/>
        </w:rPr>
        <w:t>67</w:t>
      </w:r>
      <w:r>
        <w:rPr>
          <w:rFonts w:ascii="仿宋" w:eastAsia="仿宋" w:hAnsi="仿宋" w:hint="eastAsia"/>
          <w:sz w:val="30"/>
          <w:szCs w:val="30"/>
        </w:rPr>
        <w:t>周年校庆活动安排，营造浓厚的学术氛围，</w:t>
      </w:r>
      <w:r>
        <w:rPr>
          <w:rFonts w:ascii="仿宋" w:eastAsia="仿宋" w:hAnsi="仿宋" w:hint="eastAsia"/>
          <w:sz w:val="30"/>
          <w:szCs w:val="30"/>
        </w:rPr>
        <w:t>2018</w:t>
      </w:r>
      <w:r>
        <w:rPr>
          <w:rFonts w:ascii="仿宋" w:eastAsia="仿宋" w:hAnsi="仿宋" w:hint="eastAsia"/>
          <w:sz w:val="30"/>
          <w:szCs w:val="30"/>
        </w:rPr>
        <w:t>年</w:t>
      </w:r>
      <w:r>
        <w:rPr>
          <w:rFonts w:ascii="仿宋" w:eastAsia="仿宋" w:hAnsi="仿宋" w:hint="eastAsia"/>
          <w:sz w:val="30"/>
          <w:szCs w:val="30"/>
        </w:rPr>
        <w:t>10</w:t>
      </w:r>
      <w:r>
        <w:rPr>
          <w:rFonts w:ascii="仿宋" w:eastAsia="仿宋" w:hAnsi="仿宋" w:hint="eastAsia"/>
          <w:sz w:val="30"/>
          <w:szCs w:val="30"/>
        </w:rPr>
        <w:t>月</w:t>
      </w:r>
      <w:r>
        <w:rPr>
          <w:rFonts w:ascii="仿宋" w:eastAsia="仿宋" w:hAnsi="仿宋" w:hint="eastAsia"/>
          <w:sz w:val="30"/>
          <w:szCs w:val="30"/>
        </w:rPr>
        <w:t>17</w:t>
      </w:r>
      <w:r>
        <w:rPr>
          <w:rFonts w:ascii="仿宋" w:eastAsia="仿宋" w:hAnsi="仿宋" w:hint="eastAsia"/>
          <w:sz w:val="30"/>
          <w:szCs w:val="30"/>
        </w:rPr>
        <w:t>日下午一点，我院于法商北楼</w:t>
      </w:r>
      <w:r>
        <w:rPr>
          <w:rFonts w:ascii="仿宋" w:eastAsia="仿宋" w:hAnsi="仿宋" w:hint="eastAsia"/>
          <w:sz w:val="30"/>
          <w:szCs w:val="30"/>
        </w:rPr>
        <w:t>225</w:t>
      </w:r>
      <w:r>
        <w:rPr>
          <w:rFonts w:ascii="仿宋" w:eastAsia="仿宋" w:hAnsi="仿宋" w:hint="eastAsia"/>
          <w:sz w:val="30"/>
          <w:szCs w:val="30"/>
        </w:rPr>
        <w:t>会议室举办了第一场校庆学术报告会，马克思主义学院全体教师、研究生、博士生共同聆听了本次报告会。此次报告会由马克思主义学院副院长许瑞芳主持，马克思主义学院教师宋进、孔文清、洪燕妮、何松旭依次作了学术报告。</w:t>
      </w: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F5034F">
      <w:pPr>
        <w:spacing w:line="560" w:lineRule="exact"/>
        <w:ind w:firstLineChars="200" w:firstLine="602"/>
        <w:jc w:val="center"/>
        <w:rPr>
          <w:rFonts w:ascii="仿宋" w:eastAsia="仿宋" w:hAnsi="仿宋"/>
          <w:b/>
          <w:sz w:val="30"/>
          <w:szCs w:val="30"/>
        </w:rPr>
      </w:pPr>
      <w:r>
        <w:rPr>
          <w:rFonts w:ascii="仿宋" w:eastAsia="仿宋" w:hAnsi="仿宋" w:hint="eastAsia"/>
          <w:b/>
          <w:sz w:val="30"/>
          <w:szCs w:val="30"/>
        </w:rPr>
        <w:lastRenderedPageBreak/>
        <w:t>宋进：关于新时代马克思主义理论学科发展的思考</w:t>
      </w:r>
    </w:p>
    <w:p w:rsidR="00BF1A54" w:rsidRDefault="00F5034F">
      <w:pPr>
        <w:spacing w:line="560" w:lineRule="exact"/>
        <w:ind w:firstLineChars="200" w:firstLine="600"/>
        <w:jc w:val="left"/>
        <w:rPr>
          <w:rFonts w:ascii="仿宋" w:eastAsia="仿宋" w:hAnsi="仿宋"/>
          <w:sz w:val="30"/>
          <w:szCs w:val="30"/>
        </w:rPr>
      </w:pPr>
      <w:r>
        <w:rPr>
          <w:rFonts w:ascii="仿宋" w:eastAsia="仿宋" w:hAnsi="仿宋"/>
          <w:noProof/>
          <w:sz w:val="30"/>
          <w:szCs w:val="30"/>
        </w:rPr>
        <w:drawing>
          <wp:anchor distT="0" distB="0" distL="114300" distR="114300" simplePos="0" relativeHeight="251659264" behindDoc="0" locked="0" layoutInCell="1" allowOverlap="1">
            <wp:simplePos x="0" y="0"/>
            <wp:positionH relativeFrom="column">
              <wp:posOffset>147955</wp:posOffset>
            </wp:positionH>
            <wp:positionV relativeFrom="paragraph">
              <wp:posOffset>36195</wp:posOffset>
            </wp:positionV>
            <wp:extent cx="5273675" cy="3315335"/>
            <wp:effectExtent l="0" t="0" r="3175"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3675" cy="3315335"/>
                    </a:xfrm>
                    <a:prstGeom prst="rect">
                      <a:avLst/>
                    </a:prstGeom>
                    <a:noFill/>
                  </pic:spPr>
                </pic:pic>
              </a:graphicData>
            </a:graphic>
          </wp:anchor>
        </w:drawing>
      </w:r>
      <w:r>
        <w:rPr>
          <w:rFonts w:ascii="仿宋" w:eastAsia="仿宋" w:hAnsi="仿宋" w:hint="eastAsia"/>
          <w:sz w:val="30"/>
          <w:szCs w:val="30"/>
        </w:rPr>
        <w:t>该报告分别从</w:t>
      </w:r>
      <w:proofErr w:type="gramStart"/>
      <w:r>
        <w:rPr>
          <w:rFonts w:ascii="仿宋" w:eastAsia="仿宋" w:hAnsi="仿宋" w:hint="eastAsia"/>
          <w:sz w:val="30"/>
          <w:szCs w:val="30"/>
        </w:rPr>
        <w:t>重点马院的</w:t>
      </w:r>
      <w:proofErr w:type="gramEnd"/>
      <w:r>
        <w:rPr>
          <w:rFonts w:ascii="仿宋" w:eastAsia="仿宋" w:hAnsi="仿宋" w:hint="eastAsia"/>
          <w:sz w:val="30"/>
          <w:szCs w:val="30"/>
        </w:rPr>
        <w:t>评选、</w:t>
      </w:r>
      <w:proofErr w:type="gramStart"/>
      <w:r>
        <w:rPr>
          <w:rFonts w:ascii="仿宋" w:eastAsia="仿宋" w:hAnsi="仿宋" w:hint="eastAsia"/>
          <w:sz w:val="30"/>
          <w:szCs w:val="30"/>
        </w:rPr>
        <w:t>马理论</w:t>
      </w:r>
      <w:proofErr w:type="gramEnd"/>
      <w:r>
        <w:rPr>
          <w:rFonts w:ascii="仿宋" w:eastAsia="仿宋" w:hAnsi="仿宋" w:hint="eastAsia"/>
          <w:sz w:val="30"/>
          <w:szCs w:val="30"/>
        </w:rPr>
        <w:t>学科博士点的增加、高校</w:t>
      </w:r>
      <w:proofErr w:type="gramStart"/>
      <w:r>
        <w:rPr>
          <w:rFonts w:ascii="仿宋" w:eastAsia="仿宋" w:hAnsi="仿宋" w:hint="eastAsia"/>
          <w:sz w:val="30"/>
          <w:szCs w:val="30"/>
        </w:rPr>
        <w:t>思政课</w:t>
      </w:r>
      <w:proofErr w:type="gramEnd"/>
      <w:r>
        <w:rPr>
          <w:rFonts w:ascii="仿宋" w:eastAsia="仿宋" w:hAnsi="仿宋" w:hint="eastAsia"/>
          <w:sz w:val="30"/>
          <w:szCs w:val="30"/>
        </w:rPr>
        <w:t>学分占比以及招生人数的增多等四个方面阐述了新时代马克思主义理论学科在不断发展壮大。宋</w:t>
      </w:r>
      <w:r>
        <w:rPr>
          <w:rFonts w:ascii="仿宋" w:eastAsia="仿宋" w:hAnsi="仿宋" w:hint="eastAsia"/>
          <w:sz w:val="30"/>
          <w:szCs w:val="30"/>
        </w:rPr>
        <w:t>老师</w:t>
      </w:r>
      <w:r>
        <w:rPr>
          <w:rFonts w:ascii="仿宋" w:eastAsia="仿宋" w:hAnsi="仿宋" w:hint="eastAsia"/>
          <w:sz w:val="30"/>
          <w:szCs w:val="30"/>
        </w:rPr>
        <w:t>指出，大应有大的样子，当下我们应思考的是如何从“大”变“强”的问题。随后，宋教授讲道，学科建设，特别是马克思主义理论学科建设，最重要的目的就是人才培养，要不断强化马克思主义理论学科育人能力。在马克思主义理论学科的发展过程中，应有问题导向和忧患意识，要充分依托</w:t>
      </w:r>
      <w:proofErr w:type="gramStart"/>
      <w:r>
        <w:rPr>
          <w:rFonts w:ascii="仿宋" w:eastAsia="仿宋" w:hAnsi="仿宋" w:hint="eastAsia"/>
          <w:sz w:val="30"/>
          <w:szCs w:val="30"/>
        </w:rPr>
        <w:t>重点马院这一</w:t>
      </w:r>
      <w:proofErr w:type="gramEnd"/>
      <w:r>
        <w:rPr>
          <w:rFonts w:ascii="仿宋" w:eastAsia="仿宋" w:hAnsi="仿宋" w:hint="eastAsia"/>
          <w:sz w:val="30"/>
          <w:szCs w:val="30"/>
        </w:rPr>
        <w:t>平台，全面提高</w:t>
      </w:r>
      <w:proofErr w:type="gramStart"/>
      <w:r>
        <w:rPr>
          <w:rFonts w:ascii="仿宋" w:eastAsia="仿宋" w:hAnsi="仿宋" w:hint="eastAsia"/>
          <w:sz w:val="30"/>
          <w:szCs w:val="30"/>
        </w:rPr>
        <w:t>思政教育</w:t>
      </w:r>
      <w:proofErr w:type="gramEnd"/>
      <w:r>
        <w:rPr>
          <w:rFonts w:ascii="仿宋" w:eastAsia="仿宋" w:hAnsi="仿宋" w:hint="eastAsia"/>
          <w:sz w:val="30"/>
          <w:szCs w:val="30"/>
        </w:rPr>
        <w:t>的实效性和有效性</w:t>
      </w:r>
      <w:r>
        <w:rPr>
          <w:rFonts w:ascii="仿宋" w:hAnsi="仿宋" w:hint="eastAsia"/>
          <w:sz w:val="30"/>
          <w:szCs w:val="30"/>
        </w:rPr>
        <w:t>。</w:t>
      </w: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F5034F">
      <w:pPr>
        <w:spacing w:line="560" w:lineRule="exact"/>
        <w:ind w:firstLineChars="200" w:firstLine="602"/>
        <w:jc w:val="center"/>
        <w:rPr>
          <w:rFonts w:ascii="仿宋" w:eastAsia="仿宋" w:hAnsi="仿宋"/>
          <w:b/>
          <w:sz w:val="30"/>
          <w:szCs w:val="30"/>
        </w:rPr>
      </w:pPr>
      <w:r>
        <w:rPr>
          <w:rFonts w:ascii="仿宋" w:eastAsia="仿宋" w:hAnsi="仿宋" w:hint="eastAsia"/>
          <w:b/>
          <w:sz w:val="30"/>
          <w:szCs w:val="30"/>
        </w:rPr>
        <w:t>孔文清：灵魂三分与西方哲学中的知行问题</w:t>
      </w:r>
    </w:p>
    <w:p w:rsidR="00BF1A54" w:rsidRDefault="00F5034F">
      <w:pPr>
        <w:spacing w:line="560" w:lineRule="exact"/>
        <w:ind w:firstLineChars="200" w:firstLine="600"/>
        <w:jc w:val="left"/>
        <w:rPr>
          <w:rFonts w:ascii="仿宋" w:eastAsia="仿宋" w:hAnsi="仿宋"/>
          <w:sz w:val="30"/>
          <w:szCs w:val="30"/>
        </w:rPr>
      </w:pPr>
      <w:r>
        <w:rPr>
          <w:rFonts w:ascii="仿宋" w:eastAsia="仿宋" w:hAnsi="仿宋" w:hint="eastAsia"/>
          <w:noProof/>
          <w:sz w:val="30"/>
          <w:szCs w:val="30"/>
        </w:rPr>
        <w:drawing>
          <wp:anchor distT="0" distB="0" distL="114300" distR="114300" simplePos="0" relativeHeight="251660288" behindDoc="0" locked="0" layoutInCell="1" allowOverlap="1">
            <wp:simplePos x="0" y="0"/>
            <wp:positionH relativeFrom="column">
              <wp:posOffset>217170</wp:posOffset>
            </wp:positionH>
            <wp:positionV relativeFrom="paragraph">
              <wp:posOffset>317500</wp:posOffset>
            </wp:positionV>
            <wp:extent cx="5273675" cy="3516630"/>
            <wp:effectExtent l="0" t="0" r="3175" b="762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3675" cy="3516630"/>
                    </a:xfrm>
                    <a:prstGeom prst="rect">
                      <a:avLst/>
                    </a:prstGeom>
                  </pic:spPr>
                </pic:pic>
              </a:graphicData>
            </a:graphic>
          </wp:anchor>
        </w:drawing>
      </w:r>
      <w:r>
        <w:rPr>
          <w:rFonts w:ascii="仿宋" w:eastAsia="仿宋" w:hAnsi="仿宋" w:hint="eastAsia"/>
          <w:sz w:val="30"/>
          <w:szCs w:val="30"/>
        </w:rPr>
        <w:t>孔</w:t>
      </w:r>
      <w:r>
        <w:rPr>
          <w:rFonts w:ascii="仿宋" w:eastAsia="仿宋" w:hAnsi="仿宋" w:hint="eastAsia"/>
          <w:sz w:val="30"/>
          <w:szCs w:val="30"/>
        </w:rPr>
        <w:t>老师</w:t>
      </w:r>
      <w:r>
        <w:rPr>
          <w:rFonts w:ascii="仿宋" w:eastAsia="仿宋" w:hAnsi="仿宋" w:hint="eastAsia"/>
          <w:sz w:val="30"/>
          <w:szCs w:val="30"/>
        </w:rPr>
        <w:t>指出知行问题即知行分离、知行双轨，这一问题在西方哲学中由来已久。该报告主要是从西方哲学中的知行问题、灵魂三分、灵魂三分与西方哲学中的知行问题及对西方哲学中知行问题的反思等四个方面</w:t>
      </w:r>
      <w:r>
        <w:rPr>
          <w:rFonts w:ascii="仿宋" w:hAnsi="仿宋" w:hint="eastAsia"/>
          <w:sz w:val="30"/>
          <w:szCs w:val="30"/>
        </w:rPr>
        <w:t>对</w:t>
      </w:r>
      <w:r>
        <w:rPr>
          <w:rFonts w:ascii="仿宋" w:eastAsia="仿宋" w:hAnsi="仿宋" w:hint="eastAsia"/>
          <w:sz w:val="30"/>
          <w:szCs w:val="30"/>
        </w:rPr>
        <w:t>西方哲学中的知行问题进行了探究与阐释，指出了西方哲学中的知行问题主要是受到了古希腊灵魂三分理论的影响，割裂了知与行之间的关系，由此一来使得知识与人之间出现了一个鸿沟，其结果就是知识无法推动、引发行动。</w:t>
      </w:r>
    </w:p>
    <w:p w:rsidR="00BF1A54" w:rsidRDefault="00BF1A54">
      <w:pPr>
        <w:spacing w:line="560" w:lineRule="exact"/>
        <w:ind w:firstLineChars="200" w:firstLine="600"/>
        <w:jc w:val="left"/>
        <w:rPr>
          <w:rFonts w:ascii="仿宋" w:eastAsia="仿宋" w:hAnsi="仿宋"/>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BF1A54">
      <w:pPr>
        <w:spacing w:line="560" w:lineRule="exact"/>
        <w:ind w:firstLineChars="200" w:firstLine="602"/>
        <w:jc w:val="center"/>
        <w:rPr>
          <w:rFonts w:ascii="仿宋" w:eastAsia="仿宋" w:hAnsi="仿宋"/>
          <w:b/>
          <w:sz w:val="30"/>
          <w:szCs w:val="30"/>
        </w:rPr>
      </w:pPr>
    </w:p>
    <w:p w:rsidR="00BF1A54" w:rsidRDefault="00F5034F">
      <w:pPr>
        <w:spacing w:line="560" w:lineRule="exact"/>
        <w:ind w:firstLineChars="200" w:firstLine="602"/>
        <w:jc w:val="center"/>
        <w:rPr>
          <w:rFonts w:ascii="仿宋" w:eastAsia="仿宋" w:hAnsi="仿宋"/>
          <w:b/>
          <w:sz w:val="30"/>
          <w:szCs w:val="30"/>
        </w:rPr>
      </w:pPr>
      <w:r>
        <w:rPr>
          <w:rFonts w:ascii="仿宋" w:eastAsia="仿宋" w:hAnsi="仿宋" w:hint="eastAsia"/>
          <w:b/>
          <w:sz w:val="30"/>
          <w:szCs w:val="30"/>
        </w:rPr>
        <w:t>洪燕妮：重思马克思“劳动分工”的思想源头</w:t>
      </w:r>
    </w:p>
    <w:p w:rsidR="00BF1A54" w:rsidRDefault="00F5034F">
      <w:pPr>
        <w:spacing w:line="560" w:lineRule="exact"/>
        <w:ind w:firstLineChars="200" w:firstLine="600"/>
        <w:jc w:val="left"/>
        <w:rPr>
          <w:rFonts w:ascii="仿宋" w:eastAsia="仿宋" w:hAnsi="仿宋"/>
          <w:sz w:val="30"/>
          <w:szCs w:val="30"/>
        </w:rPr>
      </w:pPr>
      <w:r>
        <w:rPr>
          <w:rFonts w:ascii="仿宋" w:eastAsia="仿宋" w:hAnsi="仿宋" w:hint="eastAsia"/>
          <w:noProof/>
          <w:sz w:val="30"/>
          <w:szCs w:val="30"/>
        </w:rPr>
        <w:drawing>
          <wp:anchor distT="0" distB="0" distL="114300" distR="114300" simplePos="0" relativeHeight="251661312" behindDoc="0" locked="0" layoutInCell="1" allowOverlap="1">
            <wp:simplePos x="0" y="0"/>
            <wp:positionH relativeFrom="column">
              <wp:posOffset>271780</wp:posOffset>
            </wp:positionH>
            <wp:positionV relativeFrom="paragraph">
              <wp:posOffset>164465</wp:posOffset>
            </wp:positionV>
            <wp:extent cx="5273675" cy="3516630"/>
            <wp:effectExtent l="0" t="0" r="3175" b="762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3675" cy="3516630"/>
                    </a:xfrm>
                    <a:prstGeom prst="rect">
                      <a:avLst/>
                    </a:prstGeom>
                  </pic:spPr>
                </pic:pic>
              </a:graphicData>
            </a:graphic>
          </wp:anchor>
        </w:drawing>
      </w:r>
      <w:r>
        <w:rPr>
          <w:rFonts w:ascii="仿宋" w:eastAsia="仿宋" w:hAnsi="仿宋" w:hint="eastAsia"/>
          <w:sz w:val="30"/>
          <w:szCs w:val="30"/>
        </w:rPr>
        <w:t>报告指出，学界对“马克思的劳动分工思想源头何在”的争论一直持续至今，争论主要围绕“马克思分工思想源头在于斯密抑或</w:t>
      </w:r>
      <w:proofErr w:type="gramStart"/>
      <w:r>
        <w:rPr>
          <w:rFonts w:ascii="仿宋" w:eastAsia="仿宋" w:hAnsi="仿宋" w:hint="eastAsia"/>
          <w:sz w:val="30"/>
          <w:szCs w:val="30"/>
        </w:rPr>
        <w:t>弗</w:t>
      </w:r>
      <w:proofErr w:type="gramEnd"/>
      <w:r>
        <w:rPr>
          <w:rFonts w:ascii="仿宋" w:eastAsia="仿宋" w:hAnsi="仿宋" w:hint="eastAsia"/>
          <w:sz w:val="30"/>
          <w:szCs w:val="30"/>
        </w:rPr>
        <w:t>格”的问题来展开。在这个问题上，“斯</w:t>
      </w:r>
      <w:proofErr w:type="gramStart"/>
      <w:r>
        <w:rPr>
          <w:rFonts w:ascii="仿宋" w:eastAsia="仿宋" w:hAnsi="仿宋" w:hint="eastAsia"/>
          <w:sz w:val="30"/>
          <w:szCs w:val="30"/>
        </w:rPr>
        <w:t>密源</w:t>
      </w:r>
      <w:proofErr w:type="gramEnd"/>
      <w:r>
        <w:rPr>
          <w:rFonts w:ascii="仿宋" w:eastAsia="仿宋" w:hAnsi="仿宋" w:hint="eastAsia"/>
          <w:sz w:val="30"/>
          <w:szCs w:val="30"/>
        </w:rPr>
        <w:t>头说”与“</w:t>
      </w:r>
      <w:proofErr w:type="gramStart"/>
      <w:r>
        <w:rPr>
          <w:rFonts w:ascii="仿宋" w:eastAsia="仿宋" w:hAnsi="仿宋" w:hint="eastAsia"/>
          <w:sz w:val="30"/>
          <w:szCs w:val="30"/>
        </w:rPr>
        <w:t>弗</w:t>
      </w:r>
      <w:proofErr w:type="gramEnd"/>
      <w:r>
        <w:rPr>
          <w:rFonts w:ascii="仿宋" w:eastAsia="仿宋" w:hAnsi="仿宋" w:hint="eastAsia"/>
          <w:sz w:val="30"/>
          <w:szCs w:val="30"/>
        </w:rPr>
        <w:t>格森源头说”各执一端，此两种说法均影响深远。</w:t>
      </w:r>
      <w:r>
        <w:rPr>
          <w:rFonts w:ascii="仿宋" w:eastAsia="仿宋" w:hAnsi="仿宋" w:hint="eastAsia"/>
          <w:sz w:val="30"/>
          <w:szCs w:val="30"/>
        </w:rPr>
        <w:t>洪老师</w:t>
      </w:r>
      <w:r>
        <w:rPr>
          <w:rFonts w:ascii="仿宋" w:eastAsia="仿宋" w:hAnsi="仿宋" w:hint="eastAsia"/>
          <w:sz w:val="30"/>
          <w:szCs w:val="30"/>
        </w:rPr>
        <w:t>通过回顾斯密、</w:t>
      </w:r>
      <w:proofErr w:type="gramStart"/>
      <w:r>
        <w:rPr>
          <w:rFonts w:ascii="仿宋" w:eastAsia="仿宋" w:hAnsi="仿宋" w:hint="eastAsia"/>
          <w:sz w:val="30"/>
          <w:szCs w:val="30"/>
        </w:rPr>
        <w:t>弗</w:t>
      </w:r>
      <w:proofErr w:type="gramEnd"/>
      <w:r>
        <w:rPr>
          <w:rFonts w:ascii="仿宋" w:eastAsia="仿宋" w:hAnsi="仿宋" w:hint="eastAsia"/>
          <w:sz w:val="30"/>
          <w:szCs w:val="30"/>
        </w:rPr>
        <w:t>格森和马克思对劳动分工的起源、性质、结果和作用的理解，最后得出结论，认为马克思的劳动分工学说既不是一种纯粹的经济学理论，也不是一种纯粹的社会学说</w:t>
      </w:r>
      <w:r>
        <w:rPr>
          <w:rFonts w:ascii="仿宋" w:hAnsi="仿宋" w:hint="eastAsia"/>
          <w:sz w:val="30"/>
          <w:szCs w:val="30"/>
        </w:rPr>
        <w:t>，</w:t>
      </w:r>
      <w:r>
        <w:rPr>
          <w:rFonts w:ascii="仿宋" w:eastAsia="仿宋" w:hAnsi="仿宋" w:hint="eastAsia"/>
          <w:sz w:val="30"/>
          <w:szCs w:val="30"/>
        </w:rPr>
        <w:t>结合思想史考察，马克思的劳动分工思想应是经济学和社会学视角的一种合理的融合。</w:t>
      </w:r>
    </w:p>
    <w:p w:rsidR="00BF1A54" w:rsidRDefault="00BF1A54">
      <w:pPr>
        <w:spacing w:line="560" w:lineRule="exact"/>
        <w:ind w:firstLineChars="200" w:firstLine="600"/>
        <w:jc w:val="left"/>
        <w:rPr>
          <w:rFonts w:ascii="仿宋" w:eastAsia="仿宋" w:hAnsi="仿宋"/>
          <w:sz w:val="30"/>
          <w:szCs w:val="30"/>
        </w:rPr>
      </w:pPr>
    </w:p>
    <w:p w:rsidR="00BF1A54" w:rsidRDefault="00BF1A54">
      <w:pPr>
        <w:spacing w:line="560" w:lineRule="exact"/>
        <w:ind w:firstLineChars="200" w:firstLine="600"/>
        <w:jc w:val="left"/>
        <w:rPr>
          <w:rFonts w:ascii="仿宋" w:eastAsia="仿宋" w:hAnsi="仿宋"/>
          <w:sz w:val="30"/>
          <w:szCs w:val="30"/>
        </w:rPr>
      </w:pPr>
    </w:p>
    <w:p w:rsidR="00BF1A54" w:rsidRDefault="00BF1A54">
      <w:pPr>
        <w:spacing w:line="560" w:lineRule="exact"/>
        <w:ind w:firstLineChars="200" w:firstLine="600"/>
        <w:jc w:val="left"/>
        <w:rPr>
          <w:rFonts w:ascii="仿宋" w:eastAsia="仿宋" w:hAnsi="仿宋"/>
          <w:sz w:val="30"/>
          <w:szCs w:val="30"/>
        </w:rPr>
      </w:pPr>
    </w:p>
    <w:p w:rsidR="00BF1A54" w:rsidRDefault="00BF1A54">
      <w:pPr>
        <w:spacing w:line="560" w:lineRule="exact"/>
        <w:ind w:firstLineChars="200" w:firstLine="600"/>
        <w:jc w:val="left"/>
        <w:rPr>
          <w:rFonts w:ascii="仿宋" w:eastAsia="仿宋" w:hAnsi="仿宋"/>
          <w:sz w:val="30"/>
          <w:szCs w:val="30"/>
        </w:rPr>
      </w:pPr>
    </w:p>
    <w:p w:rsidR="00BF1A54" w:rsidRDefault="00F5034F">
      <w:pPr>
        <w:spacing w:line="560" w:lineRule="exact"/>
        <w:ind w:firstLineChars="200" w:firstLine="602"/>
        <w:jc w:val="center"/>
        <w:rPr>
          <w:rFonts w:ascii="仿宋" w:eastAsia="仿宋" w:hAnsi="仿宋"/>
          <w:b/>
          <w:sz w:val="30"/>
          <w:szCs w:val="30"/>
        </w:rPr>
      </w:pPr>
      <w:r>
        <w:rPr>
          <w:rFonts w:ascii="仿宋" w:eastAsia="仿宋" w:hAnsi="仿宋" w:hint="eastAsia"/>
          <w:b/>
          <w:sz w:val="30"/>
          <w:szCs w:val="30"/>
        </w:rPr>
        <w:t>何松旭：马克思论自然、劳动和社会</w:t>
      </w:r>
    </w:p>
    <w:p w:rsidR="00BF1A54" w:rsidRDefault="00F5034F">
      <w:pPr>
        <w:spacing w:line="560" w:lineRule="atLeast"/>
        <w:ind w:firstLineChars="200" w:firstLine="600"/>
        <w:jc w:val="center"/>
        <w:rPr>
          <w:rFonts w:ascii="仿宋" w:eastAsia="仿宋" w:hAnsi="仿宋"/>
          <w:sz w:val="30"/>
          <w:szCs w:val="30"/>
        </w:rPr>
      </w:pPr>
      <w:r>
        <w:rPr>
          <w:rFonts w:ascii="仿宋" w:eastAsia="仿宋" w:hAnsi="仿宋" w:hint="eastAsia"/>
          <w:noProof/>
          <w:sz w:val="30"/>
          <w:szCs w:val="30"/>
        </w:rPr>
        <w:drawing>
          <wp:inline distT="0" distB="0" distL="0" distR="0">
            <wp:extent cx="4805680" cy="307276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15848" cy="3079159"/>
                    </a:xfrm>
                    <a:prstGeom prst="rect">
                      <a:avLst/>
                    </a:prstGeom>
                  </pic:spPr>
                </pic:pic>
              </a:graphicData>
            </a:graphic>
          </wp:inline>
        </w:drawing>
      </w:r>
    </w:p>
    <w:p w:rsidR="00BF1A54" w:rsidRDefault="00F5034F">
      <w:pPr>
        <w:spacing w:line="560" w:lineRule="atLeast"/>
        <w:ind w:firstLineChars="200" w:firstLine="600"/>
        <w:jc w:val="left"/>
      </w:pPr>
      <w:r>
        <w:rPr>
          <w:rFonts w:ascii="仿宋" w:eastAsia="仿宋" w:hAnsi="仿宋"/>
          <w:sz w:val="30"/>
          <w:szCs w:val="30"/>
        </w:rPr>
        <w:t>该报告着重</w:t>
      </w:r>
      <w:r>
        <w:rPr>
          <w:rFonts w:ascii="仿宋" w:eastAsia="仿宋" w:hAnsi="仿宋"/>
          <w:sz w:val="30"/>
          <w:szCs w:val="30"/>
        </w:rPr>
        <w:t>分析了马克思在不同时期、不同著作中对自然、劳动和社会三个概念的阐述。</w:t>
      </w:r>
      <w:r>
        <w:rPr>
          <w:rFonts w:ascii="仿宋" w:eastAsia="仿宋" w:hAnsi="仿宋" w:hint="eastAsia"/>
          <w:sz w:val="30"/>
          <w:szCs w:val="30"/>
        </w:rPr>
        <w:t>何老师</w:t>
      </w:r>
      <w:r>
        <w:rPr>
          <w:rFonts w:ascii="仿宋" w:eastAsia="仿宋" w:hAnsi="仿宋"/>
          <w:sz w:val="30"/>
          <w:szCs w:val="30"/>
        </w:rPr>
        <w:t>主要从马克思</w:t>
      </w:r>
      <w:r>
        <w:rPr>
          <w:rFonts w:ascii="仿宋" w:eastAsia="仿宋" w:hAnsi="仿宋" w:hint="eastAsia"/>
          <w:sz w:val="30"/>
          <w:szCs w:val="30"/>
        </w:rPr>
        <w:t>的</w:t>
      </w:r>
      <w:r>
        <w:rPr>
          <w:rFonts w:ascii="仿宋" w:eastAsia="仿宋" w:hAnsi="仿宋"/>
          <w:sz w:val="30"/>
          <w:szCs w:val="30"/>
        </w:rPr>
        <w:t>《巴黎手稿》、《导言》、《大纲》、《资本论》等著作论述了人与自然的关系、自然主义和人道主义的社会、人的生产和消费的辩证关系、生产和交换的辩证关系等，并运用关系图清晰阐述了三者之间相互关系。</w:t>
      </w:r>
    </w:p>
    <w:p w:rsidR="00BF1A54" w:rsidRDefault="00F5034F">
      <w:pPr>
        <w:spacing w:line="560" w:lineRule="atLeast"/>
        <w:ind w:firstLineChars="200" w:firstLine="420"/>
        <w:jc w:val="left"/>
      </w:pPr>
      <w:r>
        <w:rPr>
          <w:noProof/>
        </w:rPr>
        <w:lastRenderedPageBreak/>
        <w:drawing>
          <wp:inline distT="0" distB="0" distL="0" distR="0">
            <wp:extent cx="5262880" cy="318960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196359"/>
                    </a:xfrm>
                    <a:prstGeom prst="rect">
                      <a:avLst/>
                    </a:prstGeom>
                  </pic:spPr>
                </pic:pic>
              </a:graphicData>
            </a:graphic>
          </wp:inline>
        </w:drawing>
      </w:r>
    </w:p>
    <w:p w:rsidR="00BF1A54" w:rsidRDefault="00F5034F">
      <w:pPr>
        <w:spacing w:line="560" w:lineRule="exact"/>
        <w:ind w:firstLineChars="200" w:firstLine="600"/>
        <w:jc w:val="left"/>
        <w:rPr>
          <w:rFonts w:ascii="仿宋" w:eastAsia="仿宋" w:hAnsi="仿宋"/>
          <w:sz w:val="30"/>
          <w:szCs w:val="30"/>
        </w:rPr>
      </w:pPr>
      <w:r>
        <w:rPr>
          <w:rFonts w:ascii="仿宋" w:eastAsia="仿宋" w:hAnsi="仿宋" w:hint="eastAsia"/>
          <w:sz w:val="30"/>
          <w:szCs w:val="30"/>
        </w:rPr>
        <w:t>此次学术报告会，内涵丰富，观点新颖，专业性强，不仅开阔了同学们的学术视野，同时也加深了对相关专业知识的深入理解，进一步增强了学院的学术氛围。</w:t>
      </w:r>
    </w:p>
    <w:p w:rsidR="00BF1A54" w:rsidRDefault="00F5034F">
      <w:pPr>
        <w:spacing w:line="560" w:lineRule="exact"/>
        <w:ind w:firstLineChars="200" w:firstLine="600"/>
        <w:jc w:val="right"/>
        <w:rPr>
          <w:rFonts w:ascii="仿宋" w:eastAsia="仿宋" w:hAnsi="仿宋"/>
          <w:sz w:val="30"/>
          <w:szCs w:val="30"/>
        </w:rPr>
      </w:pPr>
      <w:r>
        <w:rPr>
          <w:rFonts w:ascii="仿宋" w:eastAsia="仿宋" w:hAnsi="仿宋" w:hint="eastAsia"/>
          <w:sz w:val="30"/>
          <w:szCs w:val="30"/>
        </w:rPr>
        <w:t>（马克思主义学院</w:t>
      </w:r>
      <w:r>
        <w:rPr>
          <w:rFonts w:ascii="仿宋" w:eastAsia="仿宋" w:hAnsi="仿宋" w:hint="eastAsia"/>
          <w:sz w:val="30"/>
          <w:szCs w:val="30"/>
        </w:rPr>
        <w:t xml:space="preserve"> </w:t>
      </w:r>
      <w:bookmarkStart w:id="0" w:name="_GoBack"/>
      <w:r>
        <w:rPr>
          <w:rFonts w:ascii="仿宋" w:eastAsia="仿宋" w:hAnsi="仿宋" w:hint="eastAsia"/>
          <w:sz w:val="30"/>
          <w:szCs w:val="30"/>
        </w:rPr>
        <w:t>文</w:t>
      </w:r>
      <w:r>
        <w:rPr>
          <w:rFonts w:ascii="仿宋" w:eastAsia="仿宋" w:hAnsi="仿宋" w:hint="eastAsia"/>
          <w:sz w:val="30"/>
          <w:szCs w:val="30"/>
        </w:rPr>
        <w:t>/</w:t>
      </w:r>
      <w:r>
        <w:rPr>
          <w:rFonts w:ascii="仿宋" w:eastAsia="仿宋" w:hAnsi="仿宋" w:hint="eastAsia"/>
          <w:sz w:val="30"/>
          <w:szCs w:val="30"/>
        </w:rPr>
        <w:t>张鸿燕</w:t>
      </w:r>
      <w:r>
        <w:rPr>
          <w:rFonts w:ascii="仿宋" w:eastAsia="仿宋" w:hAnsi="仿宋" w:hint="eastAsia"/>
          <w:sz w:val="30"/>
          <w:szCs w:val="30"/>
        </w:rPr>
        <w:t xml:space="preserve"> </w:t>
      </w:r>
      <w:r>
        <w:rPr>
          <w:rFonts w:ascii="仿宋" w:eastAsia="仿宋" w:hAnsi="仿宋" w:hint="eastAsia"/>
          <w:sz w:val="30"/>
          <w:szCs w:val="30"/>
        </w:rPr>
        <w:t>图</w:t>
      </w:r>
      <w:r>
        <w:rPr>
          <w:rFonts w:ascii="仿宋" w:eastAsia="仿宋" w:hAnsi="仿宋" w:hint="eastAsia"/>
          <w:sz w:val="30"/>
          <w:szCs w:val="30"/>
        </w:rPr>
        <w:t>/</w:t>
      </w:r>
      <w:r>
        <w:rPr>
          <w:rFonts w:ascii="仿宋" w:eastAsia="仿宋" w:hAnsi="仿宋" w:hint="eastAsia"/>
          <w:sz w:val="30"/>
          <w:szCs w:val="30"/>
        </w:rPr>
        <w:t>李欣燃</w:t>
      </w:r>
      <w:bookmarkEnd w:id="0"/>
      <w:r>
        <w:rPr>
          <w:rFonts w:ascii="仿宋" w:eastAsia="仿宋" w:hAnsi="仿宋" w:hint="eastAsia"/>
          <w:sz w:val="30"/>
          <w:szCs w:val="30"/>
        </w:rPr>
        <w:t>）</w:t>
      </w:r>
    </w:p>
    <w:sectPr w:rsidR="00BF1A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D53"/>
    <w:rsid w:val="001F3D53"/>
    <w:rsid w:val="00512138"/>
    <w:rsid w:val="00BF1A54"/>
    <w:rsid w:val="00F5034F"/>
    <w:rsid w:val="374661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F822925"/>
  <w15:docId w15:val="{74F3DCD5-EC6E-47D7-AA44-F777BE427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宋体"/>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6</Pages>
  <Words>175</Words>
  <Characters>1003</Characters>
  <Application>Microsoft Office Word</Application>
  <DocSecurity>0</DocSecurity>
  <Lines>8</Lines>
  <Paragraphs>2</Paragraphs>
  <ScaleCrop>false</ScaleCrop>
  <Company>微软中国</Company>
  <LinksUpToDate>false</LinksUpToDate>
  <CharactersWithSpaces>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sun</cp:lastModifiedBy>
  <cp:revision>4</cp:revision>
  <dcterms:created xsi:type="dcterms:W3CDTF">2018-10-17T07:12:00Z</dcterms:created>
  <dcterms:modified xsi:type="dcterms:W3CDTF">2018-10-25T18:04:00Z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